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9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proofErr w:type="spellStart"/>
      <w:r w:rsidR="002B59AF" w:rsidRPr="00455FB8">
        <w:rPr>
          <w:sz w:val="22"/>
          <w:szCs w:val="22"/>
        </w:rPr>
        <w:t>АзияКредит</w:t>
      </w:r>
      <w:proofErr w:type="spellEnd"/>
      <w:r w:rsidR="002B59AF" w:rsidRPr="00455FB8">
        <w:rPr>
          <w:sz w:val="22"/>
          <w:szCs w:val="22"/>
        </w:rPr>
        <w:t xml:space="preserve">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55FB8">
        <w:rPr>
          <w:b/>
        </w:rPr>
        <w:t>расположенного</w:t>
      </w:r>
      <w:proofErr w:type="gramEnd"/>
      <w:r w:rsidRPr="00455FB8">
        <w:rPr>
          <w:b/>
        </w:rPr>
        <w:t xml:space="preserve">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 xml:space="preserve">г. Алматы, </w:t>
      </w:r>
      <w:proofErr w:type="spellStart"/>
      <w:r w:rsidRPr="00455FB8">
        <w:t>Медеуский</w:t>
      </w:r>
      <w:proofErr w:type="spellEnd"/>
      <w:r w:rsidRPr="00455FB8">
        <w:t xml:space="preserve"> р-н, </w:t>
      </w:r>
      <w:proofErr w:type="spellStart"/>
      <w:proofErr w:type="gramStart"/>
      <w:r w:rsidRPr="00455FB8">
        <w:t>ул</w:t>
      </w:r>
      <w:proofErr w:type="spellEnd"/>
      <w:proofErr w:type="gramEnd"/>
      <w:r w:rsidRPr="00455FB8">
        <w:t xml:space="preserve">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proofErr w:type="spellStart"/>
      <w:r w:rsidR="00540D43" w:rsidRPr="00455FB8">
        <w:rPr>
          <w:lang w:val="en-US"/>
        </w:rPr>
        <w:t>AsiaCredit</w:t>
      </w:r>
      <w:proofErr w:type="spellEnd"/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10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55324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 xml:space="preserve">г. Алматы, </w:t>
            </w:r>
            <w:proofErr w:type="spellStart"/>
            <w:r w:rsidRPr="00455FB8">
              <w:rPr>
                <w:sz w:val="20"/>
              </w:rPr>
              <w:t>Медеуский</w:t>
            </w:r>
            <w:proofErr w:type="spellEnd"/>
            <w:r w:rsidRPr="00455FB8">
              <w:rPr>
                <w:sz w:val="20"/>
              </w:rPr>
              <w:t xml:space="preserve"> р-н, </w:t>
            </w:r>
            <w:proofErr w:type="spellStart"/>
            <w:proofErr w:type="gramStart"/>
            <w:r w:rsidRPr="00455FB8">
              <w:rPr>
                <w:sz w:val="20"/>
              </w:rPr>
              <w:t>ул</w:t>
            </w:r>
            <w:proofErr w:type="spellEnd"/>
            <w:proofErr w:type="gramEnd"/>
            <w:r w:rsidRPr="00455FB8">
              <w:rPr>
                <w:sz w:val="20"/>
              </w:rPr>
              <w:t xml:space="preserve">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 xml:space="preserve">Парковочное место №114А, общей площадью 17,1 </w:t>
            </w:r>
            <w:proofErr w:type="spellStart"/>
            <w:r w:rsidRPr="00455FB8">
              <w:rPr>
                <w:sz w:val="20"/>
              </w:rPr>
              <w:t>кв.м</w:t>
            </w:r>
            <w:proofErr w:type="spellEnd"/>
            <w:r w:rsidRPr="00455FB8">
              <w:rPr>
                <w:sz w:val="20"/>
              </w:rPr>
              <w:t>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3362C3" w:rsidRPr="00BA5145">
        <w:rPr>
          <w:b/>
          <w:sz w:val="22"/>
          <w:szCs w:val="22"/>
        </w:rPr>
        <w:t>15</w:t>
      </w:r>
      <w:r w:rsidR="003362C3">
        <w:rPr>
          <w:b/>
          <w:sz w:val="22"/>
          <w:szCs w:val="22"/>
        </w:rPr>
        <w:t xml:space="preserve"> мая 2024 года </w:t>
      </w:r>
      <w:r w:rsidR="00160264">
        <w:rPr>
          <w:b/>
          <w:sz w:val="22"/>
          <w:szCs w:val="22"/>
        </w:rPr>
        <w:t>в 12</w:t>
      </w:r>
      <w:r w:rsidR="00160264" w:rsidRPr="00572FC4">
        <w:rPr>
          <w:b/>
          <w:sz w:val="22"/>
          <w:szCs w:val="22"/>
        </w:rPr>
        <w:t xml:space="preserve"> часов 00 минут;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 xml:space="preserve">нутренний двор 3этаж либо на сайте </w:t>
      </w:r>
      <w:hyperlink r:id="rId12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proofErr w:type="gramStart"/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3362C3" w:rsidRPr="00572FC4">
        <w:rPr>
          <w:b/>
          <w:sz w:val="22"/>
          <w:szCs w:val="22"/>
        </w:rPr>
        <w:t xml:space="preserve">с </w:t>
      </w:r>
      <w:r w:rsidR="003362C3">
        <w:rPr>
          <w:b/>
          <w:sz w:val="22"/>
          <w:szCs w:val="22"/>
        </w:rPr>
        <w:t xml:space="preserve">15 апреля </w:t>
      </w:r>
      <w:r w:rsidR="003362C3" w:rsidRPr="00572FC4">
        <w:rPr>
          <w:b/>
          <w:sz w:val="22"/>
          <w:szCs w:val="22"/>
        </w:rPr>
        <w:t xml:space="preserve"> </w:t>
      </w:r>
      <w:r w:rsidR="003362C3">
        <w:rPr>
          <w:b/>
          <w:sz w:val="22"/>
          <w:szCs w:val="22"/>
        </w:rPr>
        <w:t xml:space="preserve">2024 года </w:t>
      </w:r>
      <w:r w:rsidR="003362C3" w:rsidRPr="00572FC4">
        <w:rPr>
          <w:b/>
          <w:sz w:val="22"/>
          <w:szCs w:val="22"/>
        </w:rPr>
        <w:t xml:space="preserve">по </w:t>
      </w:r>
      <w:r w:rsidR="003362C3">
        <w:rPr>
          <w:b/>
          <w:sz w:val="22"/>
          <w:szCs w:val="22"/>
        </w:rPr>
        <w:t xml:space="preserve">14 мая </w:t>
      </w:r>
      <w:r w:rsidR="003362C3" w:rsidRPr="00572FC4">
        <w:rPr>
          <w:b/>
          <w:sz w:val="22"/>
          <w:szCs w:val="22"/>
        </w:rPr>
        <w:t xml:space="preserve"> 202</w:t>
      </w:r>
      <w:r w:rsidR="003362C3">
        <w:rPr>
          <w:b/>
          <w:sz w:val="22"/>
          <w:szCs w:val="22"/>
        </w:rPr>
        <w:t xml:space="preserve">4 года </w:t>
      </w:r>
      <w:r w:rsidR="00160264">
        <w:rPr>
          <w:b/>
          <w:sz w:val="22"/>
          <w:szCs w:val="22"/>
        </w:rPr>
        <w:t>до</w:t>
      </w:r>
      <w:proofErr w:type="gramEnd"/>
      <w:r w:rsidR="00160264" w:rsidRPr="00572FC4">
        <w:rPr>
          <w:b/>
          <w:sz w:val="22"/>
          <w:szCs w:val="22"/>
        </w:rPr>
        <w:t xml:space="preserve">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55FB8">
        <w:lastRenderedPageBreak/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55FB8">
        <w:t>документации</w:t>
      </w:r>
      <w:r w:rsidR="0081660D">
        <w:rPr>
          <w:sz w:val="22"/>
          <w:szCs w:val="22"/>
        </w:rPr>
        <w:t>г</w:t>
      </w:r>
      <w:proofErr w:type="spellEnd"/>
      <w:r w:rsidR="0081660D">
        <w:rPr>
          <w:sz w:val="22"/>
          <w:szCs w:val="22"/>
        </w:rPr>
        <w:t xml:space="preserve">. Алматы, </w:t>
      </w:r>
      <w:proofErr w:type="spellStart"/>
      <w:r w:rsidR="0081660D">
        <w:rPr>
          <w:sz w:val="22"/>
          <w:szCs w:val="22"/>
        </w:rPr>
        <w:t>Медеуский</w:t>
      </w:r>
      <w:proofErr w:type="spellEnd"/>
      <w:r w:rsidR="0081660D">
        <w:rPr>
          <w:sz w:val="22"/>
          <w:szCs w:val="22"/>
        </w:rPr>
        <w:t xml:space="preserve"> район ул. Тулебаева, 38/61, БЦ «</w:t>
      </w:r>
      <w:proofErr w:type="spellStart"/>
      <w:r w:rsidR="0081660D">
        <w:rPr>
          <w:sz w:val="22"/>
          <w:szCs w:val="22"/>
        </w:rPr>
        <w:t>Жетысу</w:t>
      </w:r>
      <w:proofErr w:type="spellEnd"/>
      <w:r w:rsidR="0081660D">
        <w:rPr>
          <w:sz w:val="22"/>
          <w:szCs w:val="22"/>
        </w:rPr>
        <w:t>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6C23B8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3362C3" w:rsidRPr="00572FC4">
        <w:rPr>
          <w:b/>
          <w:sz w:val="22"/>
          <w:szCs w:val="22"/>
        </w:rPr>
        <w:t xml:space="preserve">с </w:t>
      </w:r>
      <w:r w:rsidR="003362C3">
        <w:rPr>
          <w:b/>
          <w:sz w:val="22"/>
          <w:szCs w:val="22"/>
        </w:rPr>
        <w:t xml:space="preserve">15 апреля </w:t>
      </w:r>
      <w:r w:rsidR="003362C3" w:rsidRPr="00572FC4">
        <w:rPr>
          <w:b/>
          <w:sz w:val="22"/>
          <w:szCs w:val="22"/>
        </w:rPr>
        <w:t xml:space="preserve"> </w:t>
      </w:r>
      <w:r w:rsidR="003362C3">
        <w:rPr>
          <w:b/>
          <w:sz w:val="22"/>
          <w:szCs w:val="22"/>
        </w:rPr>
        <w:t xml:space="preserve">2024 года </w:t>
      </w:r>
      <w:r w:rsidR="003362C3" w:rsidRPr="00572FC4">
        <w:rPr>
          <w:b/>
          <w:sz w:val="22"/>
          <w:szCs w:val="22"/>
        </w:rPr>
        <w:t xml:space="preserve">по </w:t>
      </w:r>
      <w:r w:rsidR="003362C3">
        <w:rPr>
          <w:b/>
          <w:sz w:val="22"/>
          <w:szCs w:val="22"/>
        </w:rPr>
        <w:t xml:space="preserve">14 мая </w:t>
      </w:r>
      <w:r w:rsidR="003362C3" w:rsidRPr="00572FC4">
        <w:rPr>
          <w:b/>
          <w:sz w:val="22"/>
          <w:szCs w:val="22"/>
        </w:rPr>
        <w:t xml:space="preserve"> 202</w:t>
      </w:r>
      <w:r w:rsidR="003362C3">
        <w:rPr>
          <w:b/>
          <w:sz w:val="22"/>
          <w:szCs w:val="22"/>
        </w:rPr>
        <w:t>4 года.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Дата и время ознакомления с имуществом, сдаваемым </w:t>
      </w:r>
      <w:proofErr w:type="gramStart"/>
      <w:r w:rsidRPr="00455FB8">
        <w:t>в</w:t>
      </w:r>
      <w:proofErr w:type="gramEnd"/>
      <w:r w:rsidRPr="00455FB8">
        <w:t xml:space="preserve"> </w:t>
      </w:r>
      <w:r w:rsidR="003362C3" w:rsidRPr="00572FC4">
        <w:rPr>
          <w:b/>
          <w:sz w:val="22"/>
          <w:szCs w:val="22"/>
        </w:rPr>
        <w:t xml:space="preserve">с </w:t>
      </w:r>
      <w:r w:rsidR="003362C3">
        <w:rPr>
          <w:b/>
          <w:sz w:val="22"/>
          <w:szCs w:val="22"/>
        </w:rPr>
        <w:t xml:space="preserve">15 апреля </w:t>
      </w:r>
      <w:r w:rsidR="003362C3" w:rsidRPr="00572FC4">
        <w:rPr>
          <w:b/>
          <w:sz w:val="22"/>
          <w:szCs w:val="22"/>
        </w:rPr>
        <w:t xml:space="preserve"> </w:t>
      </w:r>
      <w:r w:rsidR="003362C3">
        <w:rPr>
          <w:b/>
          <w:sz w:val="22"/>
          <w:szCs w:val="22"/>
        </w:rPr>
        <w:t xml:space="preserve">2024 года </w:t>
      </w:r>
      <w:r w:rsidR="003362C3" w:rsidRPr="00572FC4">
        <w:rPr>
          <w:b/>
          <w:sz w:val="22"/>
          <w:szCs w:val="22"/>
        </w:rPr>
        <w:t xml:space="preserve">по </w:t>
      </w:r>
      <w:r w:rsidR="003362C3">
        <w:rPr>
          <w:b/>
          <w:sz w:val="22"/>
          <w:szCs w:val="22"/>
        </w:rPr>
        <w:t xml:space="preserve">14 мая </w:t>
      </w:r>
      <w:r w:rsidR="003362C3" w:rsidRPr="00572FC4">
        <w:rPr>
          <w:b/>
          <w:sz w:val="22"/>
          <w:szCs w:val="22"/>
        </w:rPr>
        <w:t xml:space="preserve"> 202</w:t>
      </w:r>
      <w:r w:rsidR="003362C3">
        <w:rPr>
          <w:b/>
          <w:sz w:val="22"/>
          <w:szCs w:val="22"/>
        </w:rPr>
        <w:t>4 года</w:t>
      </w:r>
      <w:r w:rsidR="003362C3" w:rsidRPr="00572FC4">
        <w:rPr>
          <w:b/>
          <w:sz w:val="22"/>
          <w:szCs w:val="22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3362C3" w:rsidRPr="00572FC4">
        <w:rPr>
          <w:b/>
          <w:sz w:val="22"/>
          <w:szCs w:val="22"/>
        </w:rPr>
        <w:t xml:space="preserve">с </w:t>
      </w:r>
      <w:r w:rsidR="003362C3">
        <w:rPr>
          <w:b/>
          <w:sz w:val="22"/>
          <w:szCs w:val="22"/>
        </w:rPr>
        <w:t xml:space="preserve">15 апреля </w:t>
      </w:r>
      <w:r w:rsidR="003362C3" w:rsidRPr="00572FC4">
        <w:rPr>
          <w:b/>
          <w:sz w:val="22"/>
          <w:szCs w:val="22"/>
        </w:rPr>
        <w:t xml:space="preserve"> </w:t>
      </w:r>
      <w:r w:rsidR="003362C3">
        <w:rPr>
          <w:b/>
          <w:sz w:val="22"/>
          <w:szCs w:val="22"/>
        </w:rPr>
        <w:t xml:space="preserve">2024 года </w:t>
      </w:r>
      <w:r w:rsidR="003362C3" w:rsidRPr="00572FC4">
        <w:rPr>
          <w:b/>
          <w:sz w:val="22"/>
          <w:szCs w:val="22"/>
        </w:rPr>
        <w:t xml:space="preserve">по </w:t>
      </w:r>
      <w:r w:rsidR="003362C3">
        <w:rPr>
          <w:b/>
          <w:sz w:val="22"/>
          <w:szCs w:val="22"/>
        </w:rPr>
        <w:t xml:space="preserve">14 мая </w:t>
      </w:r>
      <w:r w:rsidR="003362C3" w:rsidRPr="00572FC4">
        <w:rPr>
          <w:b/>
          <w:sz w:val="22"/>
          <w:szCs w:val="22"/>
        </w:rPr>
        <w:t xml:space="preserve"> 202</w:t>
      </w:r>
      <w:r w:rsidR="003362C3">
        <w:rPr>
          <w:b/>
          <w:sz w:val="22"/>
          <w:szCs w:val="22"/>
        </w:rPr>
        <w:t>4 года</w:t>
      </w:r>
      <w:r w:rsidR="003362C3" w:rsidRPr="00572FC4">
        <w:rPr>
          <w:b/>
          <w:sz w:val="22"/>
          <w:szCs w:val="22"/>
        </w:rPr>
        <w:t xml:space="preserve">, </w:t>
      </w:r>
      <w:r w:rsidR="003362C3" w:rsidRPr="003362C3">
        <w:rPr>
          <w:b/>
          <w:sz w:val="22"/>
          <w:szCs w:val="22"/>
        </w:rPr>
        <w:t xml:space="preserve"> </w:t>
      </w:r>
      <w:r w:rsidR="003319BE" w:rsidRPr="00455FB8">
        <w:rPr>
          <w:b/>
        </w:rPr>
        <w:t xml:space="preserve">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lastRenderedPageBreak/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3362C3">
        <w:rPr>
          <w:b/>
          <w:sz w:val="22"/>
          <w:szCs w:val="22"/>
        </w:rPr>
        <w:t xml:space="preserve">15 мая 2024 года </w:t>
      </w:r>
      <w:r w:rsidR="003362C3" w:rsidRPr="00572FC4">
        <w:rPr>
          <w:b/>
          <w:sz w:val="22"/>
          <w:szCs w:val="22"/>
        </w:rPr>
        <w:t xml:space="preserve"> </w:t>
      </w:r>
      <w:r w:rsidR="003319BE" w:rsidRPr="00455FB8">
        <w:rPr>
          <w:b/>
        </w:rPr>
        <w:t>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55FB8">
        <w:rPr>
          <w:bCs/>
        </w:rPr>
        <w:t>несостоявшимся</w:t>
      </w:r>
      <w:proofErr w:type="gramEnd"/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этаж;</w:t>
      </w:r>
    </w:p>
    <w:p w:rsidR="007D0256" w:rsidRPr="003362C3" w:rsidRDefault="007D0256" w:rsidP="003362C3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3362C3">
        <w:rPr>
          <w:b/>
          <w:sz w:val="22"/>
          <w:szCs w:val="22"/>
        </w:rPr>
        <w:t xml:space="preserve">15 мая 2024 года  </w:t>
      </w:r>
      <w:r w:rsidR="00020959" w:rsidRPr="003362C3">
        <w:rPr>
          <w:b/>
          <w:sz w:val="22"/>
          <w:szCs w:val="22"/>
        </w:rPr>
        <w:t>в 12</w:t>
      </w:r>
      <w:r w:rsidR="002E74C8" w:rsidRPr="003362C3">
        <w:rPr>
          <w:b/>
          <w:sz w:val="22"/>
          <w:szCs w:val="22"/>
        </w:rPr>
        <w:t xml:space="preserve"> часов 00 минут</w:t>
      </w:r>
      <w:proofErr w:type="gramStart"/>
      <w:r w:rsidR="002E74C8" w:rsidRPr="003362C3">
        <w:rPr>
          <w:b/>
          <w:sz w:val="22"/>
          <w:szCs w:val="22"/>
        </w:rPr>
        <w:t xml:space="preserve"> </w:t>
      </w:r>
      <w:r w:rsidRPr="003362C3">
        <w:rPr>
          <w:b/>
        </w:rPr>
        <w:t>;</w:t>
      </w:r>
      <w:proofErr w:type="gramEnd"/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6" w:name="SUB7400"/>
      <w:bookmarkEnd w:id="6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500"/>
      <w:bookmarkEnd w:id="7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3362C3" w:rsidP="00491FCB">
      <w:pPr>
        <w:autoSpaceDE w:val="0"/>
        <w:autoSpaceDN w:val="0"/>
        <w:ind w:firstLine="400"/>
        <w:jc w:val="both"/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bookmarkStart w:id="14" w:name="_GoBack"/>
      <w:bookmarkEnd w:id="14"/>
      <w:r w:rsidR="008245C8" w:rsidRPr="00455FB8">
        <w:t>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46" w:rsidRDefault="007B5E46">
      <w:r>
        <w:separator/>
      </w:r>
    </w:p>
  </w:endnote>
  <w:endnote w:type="continuationSeparator" w:id="0">
    <w:p w:rsidR="007B5E46" w:rsidRDefault="007B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3362C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3362C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46" w:rsidRDefault="007B5E46">
      <w:r>
        <w:separator/>
      </w:r>
    </w:p>
  </w:footnote>
  <w:footnote w:type="continuationSeparator" w:id="0">
    <w:p w:rsidR="007B5E46" w:rsidRDefault="007B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0264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136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6FB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362C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4A3B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23B8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861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4F1D"/>
    <w:rsid w:val="007B5A14"/>
    <w:rsid w:val="007B5E46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4B0A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38A8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1774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D7EFC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6A86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2299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0A5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C7F0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9242-C9E8-43B4-8065-A3D65606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4</cp:revision>
  <cp:lastPrinted>2019-10-09T08:05:00Z</cp:lastPrinted>
  <dcterms:created xsi:type="dcterms:W3CDTF">2024-02-01T12:31:00Z</dcterms:created>
  <dcterms:modified xsi:type="dcterms:W3CDTF">2024-04-15T05:54:00Z</dcterms:modified>
</cp:coreProperties>
</file>